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024733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110B0A">
              <w:rPr>
                <w:b/>
              </w:rPr>
              <w:t xml:space="preserve">4 </w:t>
            </w:r>
            <w:r w:rsidR="00C57341">
              <w:rPr>
                <w:b/>
              </w:rPr>
              <w:t xml:space="preserve">:   </w:t>
            </w:r>
            <w:r w:rsidR="00024733">
              <w:rPr>
                <w:b/>
              </w:rPr>
              <w:t>Innovation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110B0A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4-1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86865" w:rsidRDefault="00E358AA" w:rsidP="00C86865">
            <w:pPr>
              <w:spacing w:after="40"/>
              <w:ind w:left="7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L’IA </w:t>
            </w:r>
            <w:r w:rsidR="00024733">
              <w:rPr>
                <w:szCs w:val="28"/>
              </w:rPr>
              <w:t xml:space="preserve">au service </w:t>
            </w:r>
            <w:r w:rsidR="00C86865">
              <w:rPr>
                <w:szCs w:val="28"/>
              </w:rPr>
              <w:t>des ressources humaines</w:t>
            </w:r>
            <w:r>
              <w:rPr>
                <w:szCs w:val="28"/>
              </w:rPr>
              <w:t> :</w:t>
            </w:r>
          </w:p>
          <w:p w:rsidR="00C57341" w:rsidRDefault="00E358AA" w:rsidP="00C86865">
            <w:pPr>
              <w:spacing w:after="40"/>
              <w:ind w:left="72"/>
              <w:jc w:val="center"/>
              <w:rPr>
                <w:sz w:val="24"/>
              </w:rPr>
            </w:pPr>
            <w:r>
              <w:rPr>
                <w:szCs w:val="28"/>
              </w:rPr>
              <w:t>cas d’usage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406C19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406C19" w:rsidTr="00C86865">
        <w:trPr>
          <w:cantSplit/>
          <w:trHeight w:hRule="exact" w:val="211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E6C" w:rsidRPr="00024733" w:rsidRDefault="006E40AD" w:rsidP="00024733">
            <w:pPr>
              <w:tabs>
                <w:tab w:val="left" w:pos="4235"/>
              </w:tabs>
              <w:spacing w:after="0" w:line="240" w:lineRule="auto"/>
              <w:rPr>
                <w:sz w:val="18"/>
                <w:szCs w:val="18"/>
              </w:rPr>
            </w:pPr>
            <w:r w:rsidRPr="00406C19"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 l'issue de la formation décrite ici, le stagiaire doit</w:t>
            </w:r>
            <w:r w:rsidR="00C57341" w:rsidRPr="00C86865">
              <w:rPr>
                <w:rFonts w:ascii="Arial" w:hAnsi="Arial"/>
                <w:b/>
                <w:i/>
                <w:sz w:val="20"/>
                <w:szCs w:val="20"/>
              </w:rPr>
              <w:t> </w:t>
            </w:r>
            <w:r w:rsidR="00C86865" w:rsidRPr="00C86865">
              <w:rPr>
                <w:b/>
                <w:i/>
                <w:sz w:val="20"/>
                <w:szCs w:val="20"/>
              </w:rPr>
              <w:t>pouvoir</w:t>
            </w:r>
            <w:r w:rsidR="00C86865" w:rsidRPr="00C86865">
              <w:rPr>
                <w:b/>
                <w:i/>
              </w:rPr>
              <w:t> :</w:t>
            </w:r>
          </w:p>
          <w:p w:rsidR="00C86865" w:rsidRPr="00C86865" w:rsidRDefault="00C86865" w:rsidP="00C86865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Comprendre les bases de l’IA</w:t>
            </w:r>
            <w:r w:rsidRPr="00C86865">
              <w:rPr>
                <w:rFonts w:ascii="Arial" w:hAnsi="Arial" w:cs="Arial"/>
                <w:b/>
                <w:sz w:val="18"/>
                <w:szCs w:val="18"/>
              </w:rPr>
              <w:t xml:space="preserve"> pour </w:t>
            </w:r>
            <w:r w:rsidRPr="00C868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optimiser les processus RH grâce à l’IA</w:t>
            </w:r>
          </w:p>
          <w:p w:rsidR="00C86865" w:rsidRPr="00C86865" w:rsidRDefault="00C86865" w:rsidP="00C86865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Exploiter les données RH de manière éthique et conforme</w:t>
            </w:r>
            <w:r w:rsidRPr="00C8686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  <w:p w:rsidR="00C86865" w:rsidRPr="00C86865" w:rsidRDefault="00C86865" w:rsidP="00C86865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Automatiser les tâches administratives RH</w:t>
            </w:r>
          </w:p>
          <w:p w:rsidR="00024733" w:rsidRPr="00C86865" w:rsidRDefault="00C86865" w:rsidP="00C86865">
            <w:pPr>
              <w:pStyle w:val="NormalWeb"/>
              <w:numPr>
                <w:ilvl w:val="0"/>
                <w:numId w:val="2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Préparer l’évolution des métiers RH avec </w:t>
            </w:r>
            <w:r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l'IA</w:t>
            </w:r>
          </w:p>
          <w:p w:rsidR="00C57341" w:rsidRPr="00406C19" w:rsidRDefault="00C57341" w:rsidP="00024733">
            <w:pPr>
              <w:tabs>
                <w:tab w:val="left" w:pos="4235"/>
              </w:tabs>
              <w:spacing w:before="40" w:after="40"/>
              <w:rPr>
                <w:b/>
                <w:bCs/>
                <w:sz w:val="18"/>
                <w:szCs w:val="18"/>
              </w:rPr>
            </w:pPr>
            <w:r w:rsidRPr="00406C19">
              <w:rPr>
                <w:rFonts w:ascii="Arial" w:hAnsi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4C69C7">
                  <w:rPr>
                    <w:rFonts w:ascii="Arial" w:hAnsi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406C19" w:rsidRDefault="00C57341" w:rsidP="00C57341">
      <w:pPr>
        <w:rPr>
          <w:sz w:val="18"/>
          <w:szCs w:val="1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A643F9">
        <w:trPr>
          <w:cantSplit/>
          <w:trHeight w:hRule="exact" w:val="108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406C19" w:rsidRDefault="00C57341" w:rsidP="00F35E03">
            <w:pPr>
              <w:tabs>
                <w:tab w:val="left" w:pos="1985"/>
              </w:tabs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5C6F60">
              <w:rPr>
                <w:rFonts w:ascii="Arial" w:hAnsi="Arial" w:cs="Arial"/>
                <w:sz w:val="18"/>
                <w:szCs w:val="18"/>
              </w:rPr>
              <w:t>Agent</w:t>
            </w:r>
            <w:r w:rsidR="00C86865">
              <w:rPr>
                <w:rFonts w:ascii="Arial" w:hAnsi="Arial" w:cs="Arial"/>
                <w:sz w:val="18"/>
                <w:szCs w:val="18"/>
              </w:rPr>
              <w:t xml:space="preserve"> en charge de la politique ou des processus des ressources humaines</w:t>
            </w:r>
            <w:r w:rsidR="00406C19" w:rsidRPr="00406C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C86D7B" w:rsidRPr="00C86D7B">
              <w:rPr>
                <w:rFonts w:ascii="Arial" w:hAnsi="Arial"/>
                <w:sz w:val="18"/>
              </w:rPr>
              <w:t>Conduite du changement</w:t>
            </w:r>
          </w:p>
          <w:p w:rsidR="00C57341" w:rsidRPr="00962AB6" w:rsidRDefault="00C57341" w:rsidP="00962AB6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962AB6">
              <w:rPr>
                <w:rFonts w:ascii="Arial" w:hAnsi="Arial"/>
                <w:sz w:val="18"/>
                <w:szCs w:val="18"/>
              </w:rPr>
              <w:t>A</w:t>
            </w:r>
            <w:r w:rsidR="00962AB6" w:rsidRPr="00962AB6">
              <w:rPr>
                <w:rFonts w:ascii="Arial" w:hAnsi="Arial"/>
                <w:sz w:val="18"/>
                <w:szCs w:val="18"/>
              </w:rPr>
              <w:t>voir suivi la formation Accult</w:t>
            </w:r>
            <w:r w:rsidR="00962AB6">
              <w:rPr>
                <w:rFonts w:ascii="Arial" w:hAnsi="Arial"/>
                <w:sz w:val="18"/>
                <w:szCs w:val="18"/>
              </w:rPr>
              <w:t>uration à l’IA (</w:t>
            </w:r>
            <w:r w:rsidR="004C69C7" w:rsidRPr="00962AB6">
              <w:rPr>
                <w:rFonts w:ascii="Arial" w:hAnsi="Arial"/>
                <w:sz w:val="18"/>
                <w:szCs w:val="18"/>
              </w:rPr>
              <w:t>Sensibilisation</w:t>
            </w:r>
            <w:r w:rsidR="00962AB6">
              <w:rPr>
                <w:rFonts w:ascii="Arial" w:hAnsi="Arial"/>
                <w:sz w:val="18"/>
                <w:szCs w:val="18"/>
              </w:rPr>
              <w:t>) </w:t>
            </w: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478B3" w:rsidRDefault="00C478B3" w:rsidP="00C478B3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 outils et l’environnement de l’IA du MINARM sont intégrés à la formation en collaboration avec un expert interne au ministère.</w:t>
            </w:r>
          </w:p>
          <w:p w:rsidR="00C478B3" w:rsidRPr="00024733" w:rsidRDefault="00C478B3" w:rsidP="00C478B3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 formation est actualisée chaque année pour intégrer les évolutions des outils et des pratiques. </w:t>
            </w:r>
          </w:p>
          <w:p w:rsidR="00C86865" w:rsidRPr="00C86865" w:rsidRDefault="00C86865" w:rsidP="009818BD">
            <w:pPr>
              <w:pStyle w:val="NormalWeb"/>
              <w:numPr>
                <w:ilvl w:val="0"/>
                <w:numId w:val="30"/>
              </w:numPr>
              <w:tabs>
                <w:tab w:val="clear" w:pos="720"/>
                <w:tab w:val="num" w:pos="551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Introduction à l’IA et au machine learning dans les RH</w:t>
            </w:r>
          </w:p>
          <w:p w:rsid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Notions fondamentales et terminologie.</w:t>
            </w:r>
          </w:p>
          <w:p w:rsidR="009818BD" w:rsidRPr="009818BD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E</w:t>
            </w:r>
            <w:r w:rsidR="009818BD">
              <w:rPr>
                <w:rFonts w:ascii="Arial" w:hAnsi="Arial" w:cs="Arial"/>
                <w:sz w:val="18"/>
                <w:szCs w:val="18"/>
              </w:rPr>
              <w:t>xemples d’applications en RH, notamment résolution des problèmes courants dans l’intégration de l’IA aux processus RH (modèles de prompts)</w:t>
            </w:r>
          </w:p>
          <w:p w:rsidR="00A643F9" w:rsidRPr="00C86865" w:rsidRDefault="00A643F9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86865" w:rsidRPr="00C86865" w:rsidRDefault="00C86865" w:rsidP="009818BD">
            <w:pPr>
              <w:pStyle w:val="NormalWeb"/>
              <w:numPr>
                <w:ilvl w:val="0"/>
                <w:numId w:val="30"/>
              </w:numPr>
              <w:tabs>
                <w:tab w:val="clear" w:pos="720"/>
                <w:tab w:val="num" w:pos="551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Gestion des données et des risques réglementaires</w:t>
            </w:r>
          </w:p>
          <w:p w:rsidR="00C86865" w:rsidRP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Identification et exploitation des différentes sources de données RH.</w:t>
            </w:r>
          </w:p>
          <w:p w:rsid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Respect de la réglementation (RGPD) et gestion des risques éthiques.</w:t>
            </w:r>
          </w:p>
          <w:p w:rsidR="00A643F9" w:rsidRPr="00C86865" w:rsidRDefault="00A643F9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86865" w:rsidRPr="00C86865" w:rsidRDefault="00C86865" w:rsidP="009818BD">
            <w:pPr>
              <w:pStyle w:val="NormalWeb"/>
              <w:numPr>
                <w:ilvl w:val="0"/>
                <w:numId w:val="30"/>
              </w:numPr>
              <w:tabs>
                <w:tab w:val="clear" w:pos="720"/>
                <w:tab w:val="num" w:pos="551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IA au service de la gestion des compétences et des talents</w:t>
            </w:r>
          </w:p>
          <w:p w:rsidR="00C86865" w:rsidRP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Intégration de l’IA dans le processus de recrutement et d’analyse des compétences.</w:t>
            </w:r>
          </w:p>
          <w:p w:rsid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Outils prédictifs pour la GEPP/GPEC.</w:t>
            </w:r>
          </w:p>
          <w:p w:rsidR="00A643F9" w:rsidRPr="00C86865" w:rsidRDefault="00A643F9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86865" w:rsidRPr="00C86865" w:rsidRDefault="00C86865" w:rsidP="009818BD">
            <w:pPr>
              <w:pStyle w:val="NormalWeb"/>
              <w:numPr>
                <w:ilvl w:val="0"/>
                <w:numId w:val="30"/>
              </w:numPr>
              <w:tabs>
                <w:tab w:val="clear" w:pos="720"/>
                <w:tab w:val="num" w:pos="551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Automatisation administrative des tâches RH</w:t>
            </w:r>
          </w:p>
          <w:p w:rsidR="00C86865" w:rsidRPr="00C86865" w:rsidRDefault="009818BD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Automatisation robotisée des processus (RPA) </w:t>
            </w:r>
            <w:r w:rsidR="00C86865" w:rsidRPr="00C86865">
              <w:rPr>
                <w:rFonts w:ascii="Arial" w:hAnsi="Arial" w:cs="Arial"/>
                <w:sz w:val="18"/>
                <w:szCs w:val="18"/>
              </w:rPr>
              <w:t>et optimisation de la gestion SIRH.</w:t>
            </w:r>
          </w:p>
          <w:p w:rsidR="00C86865" w:rsidRP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lastRenderedPageBreak/>
              <w:t>Automatisation des échanges administratifs avec les collaborateurs.</w:t>
            </w:r>
          </w:p>
          <w:p w:rsidR="00C86865" w:rsidRPr="00C86865" w:rsidRDefault="00C86865" w:rsidP="009818BD">
            <w:pPr>
              <w:pStyle w:val="NormalWeb"/>
              <w:numPr>
                <w:ilvl w:val="0"/>
                <w:numId w:val="30"/>
              </w:numPr>
              <w:tabs>
                <w:tab w:val="clear" w:pos="720"/>
                <w:tab w:val="num" w:pos="551"/>
              </w:tabs>
              <w:spacing w:before="0" w:beforeAutospacing="0" w:after="0" w:afterAutospacing="0" w:line="276" w:lineRule="auto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Transformation des métiers RH et prise en compte de l’IA explicable</w:t>
            </w:r>
          </w:p>
          <w:p w:rsidR="00C86865" w:rsidRP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Impacts de l’IA sur les métiers RH, aspects éthiques et responsabilité algorithmique.</w:t>
            </w:r>
          </w:p>
          <w:p w:rsidR="00C86865" w:rsidRPr="00C86865" w:rsidRDefault="00C86865" w:rsidP="009818BD">
            <w:pPr>
              <w:numPr>
                <w:ilvl w:val="1"/>
                <w:numId w:val="30"/>
              </w:numPr>
              <w:tabs>
                <w:tab w:val="num" w:pos="551"/>
              </w:tabs>
              <w:spacing w:after="0"/>
              <w:ind w:left="268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Fonts w:ascii="Arial" w:hAnsi="Arial" w:cs="Arial"/>
                <w:sz w:val="18"/>
                <w:szCs w:val="18"/>
              </w:rPr>
              <w:t>Comprendre l’importance de l’IA explicable pour un usage éthique.</w:t>
            </w:r>
          </w:p>
          <w:p w:rsidR="00A643F9" w:rsidRDefault="00A643F9" w:rsidP="009818BD">
            <w:pPr>
              <w:pStyle w:val="Titre3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</w:pPr>
          </w:p>
          <w:p w:rsidR="00C86865" w:rsidRDefault="00C86865" w:rsidP="009818BD">
            <w:pPr>
              <w:pStyle w:val="Titre3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C86865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Modalités p</w:t>
            </w:r>
            <w:r w:rsidR="009818BD">
              <w:rPr>
                <w:rStyle w:val="lev"/>
                <w:rFonts w:ascii="Arial" w:eastAsiaTheme="minorHAnsi" w:hAnsi="Arial" w:cs="Arial"/>
                <w:b/>
                <w:bCs/>
                <w:sz w:val="18"/>
                <w:szCs w:val="18"/>
              </w:rPr>
              <w:t>édagogiques</w:t>
            </w:r>
          </w:p>
          <w:p w:rsidR="009818BD" w:rsidRPr="00C86865" w:rsidRDefault="009818BD" w:rsidP="009818BD">
            <w:pPr>
              <w:pStyle w:val="Titre3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C86865" w:rsidRPr="00C86865" w:rsidRDefault="00C86865" w:rsidP="009818BD">
            <w:pPr>
              <w:pStyle w:val="NormalWeb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Démonstration et ateliers pratiques</w:t>
            </w:r>
            <w:r w:rsidRPr="00C86865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C86865" w:rsidRDefault="00C86865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Jour 1</w:t>
            </w:r>
            <w:r w:rsidRPr="00C86865">
              <w:rPr>
                <w:rFonts w:ascii="Arial" w:hAnsi="Arial" w:cs="Arial"/>
                <w:sz w:val="18"/>
                <w:szCs w:val="18"/>
              </w:rPr>
              <w:t xml:space="preserve"> : Apports théoriques et démonstrations pratiques via des retours d’expérience concrets et des applications d’IA en RH.</w:t>
            </w:r>
          </w:p>
          <w:p w:rsidR="009818BD" w:rsidRPr="00C86865" w:rsidRDefault="009818BD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86865" w:rsidRPr="00C86865" w:rsidRDefault="00C86865" w:rsidP="009818BD">
            <w:pPr>
              <w:tabs>
                <w:tab w:val="num" w:pos="551"/>
              </w:tabs>
              <w:spacing w:after="0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Jour 2</w:t>
            </w:r>
            <w:r w:rsidRPr="00C86865">
              <w:rPr>
                <w:rFonts w:ascii="Arial" w:hAnsi="Arial" w:cs="Arial"/>
                <w:sz w:val="18"/>
                <w:szCs w:val="18"/>
              </w:rPr>
              <w:t xml:space="preserve"> : Ateliers en mode collaboratif basés sur un cas d'usage réel. Les agents travailleront en sous-groupes pour analyser et résoudre un cas spécifique d’intégration de l'IA dans un processus RH (ex. : optimisation du recrutement via un système de </w:t>
            </w:r>
            <w:proofErr w:type="spellStart"/>
            <w:r w:rsidRPr="00C86865">
              <w:rPr>
                <w:rFonts w:ascii="Arial" w:hAnsi="Arial" w:cs="Arial"/>
                <w:sz w:val="18"/>
                <w:szCs w:val="18"/>
              </w:rPr>
              <w:t>matching</w:t>
            </w:r>
            <w:proofErr w:type="spellEnd"/>
            <w:r w:rsidRPr="00C86865">
              <w:rPr>
                <w:rFonts w:ascii="Arial" w:hAnsi="Arial" w:cs="Arial"/>
                <w:sz w:val="18"/>
                <w:szCs w:val="18"/>
              </w:rPr>
              <w:t xml:space="preserve"> IA ou automatisation de tâches administratives). L’objectif est de consolider les compétences en appliquant les connaissances théoriques et d'évaluer les impacts éthiques, organisationnels et réglementaires.</w:t>
            </w:r>
          </w:p>
          <w:p w:rsidR="00A643F9" w:rsidRDefault="00A643F9" w:rsidP="009818BD">
            <w:pPr>
              <w:pStyle w:val="NormalWeb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Style w:val="lev"/>
                <w:rFonts w:ascii="Arial" w:hAnsi="Arial" w:cs="Arial"/>
                <w:sz w:val="18"/>
                <w:szCs w:val="18"/>
              </w:rPr>
            </w:pPr>
          </w:p>
          <w:p w:rsidR="009818BD" w:rsidRDefault="00C86865" w:rsidP="009818BD">
            <w:pPr>
              <w:pStyle w:val="NormalWeb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865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C86865">
              <w:rPr>
                <w:rFonts w:ascii="Arial" w:hAnsi="Arial" w:cs="Arial"/>
                <w:sz w:val="18"/>
                <w:szCs w:val="18"/>
              </w:rPr>
              <w:t xml:space="preserve"> : </w:t>
            </w:r>
          </w:p>
          <w:p w:rsidR="009818BD" w:rsidRDefault="009818BD" w:rsidP="009818BD">
            <w:pPr>
              <w:pStyle w:val="NormalWeb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18BD"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6865" w:rsidRPr="00C86865">
              <w:rPr>
                <w:rFonts w:ascii="Arial" w:hAnsi="Arial" w:cs="Arial"/>
                <w:sz w:val="18"/>
                <w:szCs w:val="18"/>
              </w:rPr>
              <w:t>Alternance d'apports théoriques, d'illustrations concrètes avec des cas d'usage et d'ateliers de mise en situation pour favoriser l’appropriation des connaissances et compétences nécessaires à l’intégratio</w:t>
            </w:r>
            <w:r>
              <w:rPr>
                <w:rFonts w:ascii="Arial" w:hAnsi="Arial" w:cs="Arial"/>
                <w:sz w:val="18"/>
                <w:szCs w:val="18"/>
              </w:rPr>
              <w:t>n de l’IA dans les pratiques RH.</w:t>
            </w:r>
          </w:p>
          <w:p w:rsidR="00B84BC4" w:rsidRDefault="009818BD" w:rsidP="009818BD">
            <w:pPr>
              <w:pStyle w:val="NormalWeb"/>
              <w:tabs>
                <w:tab w:val="num" w:pos="268"/>
                <w:tab w:val="num" w:pos="551"/>
              </w:tabs>
              <w:spacing w:before="0" w:beforeAutospacing="0" w:after="0" w:afterAutospacing="0" w:line="276" w:lineRule="auto"/>
              <w:ind w:left="268"/>
              <w:jc w:val="both"/>
              <w:rPr>
                <w:color w:val="44546A"/>
              </w:rPr>
            </w:pPr>
            <w:r>
              <w:rPr>
                <w:rFonts w:ascii="Arial" w:hAnsi="Arial" w:cs="Arial"/>
                <w:sz w:val="18"/>
                <w:szCs w:val="18"/>
              </w:rPr>
              <w:t>- Mise à disposition</w:t>
            </w:r>
            <w:r w:rsidRPr="009818BD">
              <w:rPr>
                <w:rFonts w:ascii="Arial" w:hAnsi="Arial" w:cs="Arial"/>
                <w:sz w:val="18"/>
                <w:szCs w:val="18"/>
              </w:rPr>
              <w:t xml:space="preserve"> d’un </w:t>
            </w:r>
            <w:r w:rsidR="00B84BC4" w:rsidRPr="009818BD">
              <w:rPr>
                <w:rFonts w:ascii="Arial" w:hAnsi="Arial" w:cs="Arial"/>
                <w:sz w:val="18"/>
                <w:szCs w:val="18"/>
              </w:rPr>
              <w:t xml:space="preserve">manuel pratique de résolution des problèmes courants dans l'intégration de l'IA aux processus RH, incluant des </w:t>
            </w:r>
            <w:r>
              <w:rPr>
                <w:rFonts w:ascii="Arial" w:hAnsi="Arial" w:cs="Arial"/>
                <w:sz w:val="18"/>
                <w:szCs w:val="18"/>
              </w:rPr>
              <w:t>modèles</w:t>
            </w:r>
            <w:r w:rsidR="00B84BC4" w:rsidRPr="009818BD">
              <w:rPr>
                <w:rFonts w:ascii="Arial" w:hAnsi="Arial" w:cs="Arial"/>
                <w:sz w:val="18"/>
                <w:szCs w:val="18"/>
              </w:rPr>
              <w:t xml:space="preserve"> de prompts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35E03" w:rsidRPr="00C86865" w:rsidRDefault="00F35E03" w:rsidP="00C8686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BE1D1D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A643F9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818BD" w:rsidRDefault="00A643F9" w:rsidP="009818BD">
            <w:pPr>
              <w:spacing w:after="0"/>
              <w:ind w:hanging="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 w:rsidR="009818BD">
              <w:rPr>
                <w:rFonts w:ascii="Arial" w:hAnsi="Arial"/>
                <w:sz w:val="18"/>
              </w:rPr>
              <w:t>xposé  </w:t>
            </w:r>
            <w:r>
              <w:rPr>
                <w:rFonts w:ascii="Arial" w:hAnsi="Arial"/>
                <w:sz w:val="18"/>
              </w:rPr>
              <w:t> </w:t>
            </w:r>
          </w:p>
          <w:p w:rsidR="009818BD" w:rsidRDefault="009818BD" w:rsidP="009818BD">
            <w:pPr>
              <w:spacing w:after="0"/>
              <w:ind w:hanging="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</w:t>
            </w:r>
            <w:r w:rsidR="00A643F9">
              <w:rPr>
                <w:rFonts w:ascii="Arial" w:hAnsi="Arial"/>
                <w:sz w:val="18"/>
              </w:rPr>
              <w:t xml:space="preserve"> d'</w:t>
            </w:r>
            <w:r w:rsidR="00A643F9"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 </w:t>
            </w:r>
          </w:p>
          <w:p w:rsidR="009818BD" w:rsidRDefault="00A643F9" w:rsidP="009818BD">
            <w:pPr>
              <w:spacing w:after="0"/>
              <w:ind w:hanging="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  <w:r w:rsidR="009818BD">
              <w:rPr>
                <w:rFonts w:ascii="Arial" w:hAnsi="Arial"/>
                <w:sz w:val="18"/>
              </w:rPr>
              <w:t>  E</w:t>
            </w:r>
            <w:r>
              <w:rPr>
                <w:rFonts w:ascii="Arial" w:hAnsi="Arial"/>
                <w:sz w:val="18"/>
              </w:rPr>
              <w:t xml:space="preserve">tudes de </w:t>
            </w:r>
            <w:r w:rsidR="009818BD" w:rsidRPr="009818BD">
              <w:rPr>
                <w:rFonts w:ascii="Arial" w:hAnsi="Arial"/>
                <w:b/>
                <w:sz w:val="18"/>
              </w:rPr>
              <w:t>C</w:t>
            </w:r>
            <w:r w:rsidR="009818BD">
              <w:rPr>
                <w:rFonts w:ascii="Arial" w:hAnsi="Arial"/>
                <w:sz w:val="18"/>
              </w:rPr>
              <w:t>as</w:t>
            </w:r>
          </w:p>
          <w:p w:rsidR="00A643F9" w:rsidRDefault="009818BD" w:rsidP="009818BD">
            <w:pPr>
              <w:spacing w:after="0"/>
              <w:ind w:hanging="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</w:t>
            </w:r>
            <w:r w:rsidR="00A643F9">
              <w:rPr>
                <w:rFonts w:ascii="Arial" w:hAnsi="Arial"/>
                <w:sz w:val="18"/>
              </w:rPr>
              <w:t xml:space="preserve">ravaux en </w:t>
            </w:r>
            <w:r w:rsidR="00A643F9">
              <w:rPr>
                <w:rFonts w:ascii="Arial" w:hAnsi="Arial"/>
                <w:b/>
                <w:sz w:val="18"/>
              </w:rPr>
              <w:t>S</w:t>
            </w:r>
            <w:r w:rsidR="00A643F9">
              <w:rPr>
                <w:rFonts w:ascii="Arial" w:hAnsi="Arial"/>
                <w:sz w:val="18"/>
              </w:rPr>
              <w:t>ous-groupes</w:t>
            </w:r>
          </w:p>
          <w:p w:rsidR="00C57341" w:rsidRPr="00F35E03" w:rsidRDefault="00C57341" w:rsidP="009818BD">
            <w:pPr>
              <w:spacing w:before="40"/>
              <w:ind w:hanging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406C19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BE1D1D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4C69C7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A643F9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406C19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A643F9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 xml:space="preserve">Damien </w:t>
            </w:r>
            <w:proofErr w:type="spellStart"/>
            <w:r>
              <w:rPr>
                <w:sz w:val="24"/>
              </w:rPr>
              <w:t>Joliot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D1D" w:rsidRDefault="00BE1D1D" w:rsidP="00C57341">
      <w:pPr>
        <w:spacing w:after="0" w:line="240" w:lineRule="auto"/>
      </w:pPr>
      <w:r>
        <w:separator/>
      </w:r>
    </w:p>
  </w:endnote>
  <w:endnote w:type="continuationSeparator" w:id="0">
    <w:p w:rsidR="00BE1D1D" w:rsidRDefault="00BE1D1D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D1D" w:rsidRDefault="00BE1D1D" w:rsidP="00C57341">
      <w:pPr>
        <w:spacing w:after="0" w:line="240" w:lineRule="auto"/>
      </w:pPr>
      <w:r>
        <w:separator/>
      </w:r>
    </w:p>
  </w:footnote>
  <w:footnote w:type="continuationSeparator" w:id="0">
    <w:p w:rsidR="00BE1D1D" w:rsidRDefault="00BE1D1D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E7B10"/>
    <w:multiLevelType w:val="multilevel"/>
    <w:tmpl w:val="CBD2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E28DA"/>
    <w:multiLevelType w:val="multilevel"/>
    <w:tmpl w:val="F9C4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84BF3"/>
    <w:multiLevelType w:val="multilevel"/>
    <w:tmpl w:val="D2B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DA6AF1"/>
    <w:multiLevelType w:val="multilevel"/>
    <w:tmpl w:val="BC60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BAB"/>
    <w:multiLevelType w:val="multilevel"/>
    <w:tmpl w:val="5324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7D2D4B"/>
    <w:multiLevelType w:val="multilevel"/>
    <w:tmpl w:val="BEF2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6634"/>
    <w:multiLevelType w:val="multilevel"/>
    <w:tmpl w:val="50E6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5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4A2D5328"/>
    <w:multiLevelType w:val="multilevel"/>
    <w:tmpl w:val="C35E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A5DE0"/>
    <w:multiLevelType w:val="hybridMultilevel"/>
    <w:tmpl w:val="27EC07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47FB7"/>
    <w:multiLevelType w:val="multilevel"/>
    <w:tmpl w:val="CA603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93570"/>
    <w:multiLevelType w:val="multilevel"/>
    <w:tmpl w:val="AD16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111B9"/>
    <w:multiLevelType w:val="multilevel"/>
    <w:tmpl w:val="3078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37EAC"/>
    <w:multiLevelType w:val="hybridMultilevel"/>
    <w:tmpl w:val="EB90A0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729ED"/>
    <w:multiLevelType w:val="multilevel"/>
    <w:tmpl w:val="314A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1"/>
  </w:num>
  <w:num w:numId="3">
    <w:abstractNumId w:val="3"/>
  </w:num>
  <w:num w:numId="4">
    <w:abstractNumId w:val="24"/>
  </w:num>
  <w:num w:numId="5">
    <w:abstractNumId w:val="17"/>
  </w:num>
  <w:num w:numId="6">
    <w:abstractNumId w:val="18"/>
  </w:num>
  <w:num w:numId="7">
    <w:abstractNumId w:val="14"/>
  </w:num>
  <w:num w:numId="8">
    <w:abstractNumId w:val="29"/>
  </w:num>
  <w:num w:numId="9">
    <w:abstractNumId w:val="28"/>
  </w:num>
  <w:num w:numId="10">
    <w:abstractNumId w:val="20"/>
  </w:num>
  <w:num w:numId="11">
    <w:abstractNumId w:val="8"/>
  </w:num>
  <w:num w:numId="12">
    <w:abstractNumId w:val="15"/>
  </w:num>
  <w:num w:numId="13">
    <w:abstractNumId w:val="26"/>
  </w:num>
  <w:num w:numId="14">
    <w:abstractNumId w:val="11"/>
  </w:num>
  <w:num w:numId="15">
    <w:abstractNumId w:val="5"/>
  </w:num>
  <w:num w:numId="16">
    <w:abstractNumId w:val="13"/>
  </w:num>
  <w:num w:numId="17">
    <w:abstractNumId w:val="0"/>
  </w:num>
  <w:num w:numId="18">
    <w:abstractNumId w:val="16"/>
  </w:num>
  <w:num w:numId="19">
    <w:abstractNumId w:val="1"/>
  </w:num>
  <w:num w:numId="20">
    <w:abstractNumId w:val="25"/>
  </w:num>
  <w:num w:numId="21">
    <w:abstractNumId w:val="9"/>
  </w:num>
  <w:num w:numId="22">
    <w:abstractNumId w:val="27"/>
  </w:num>
  <w:num w:numId="23">
    <w:abstractNumId w:val="7"/>
  </w:num>
  <w:num w:numId="24">
    <w:abstractNumId w:val="10"/>
  </w:num>
  <w:num w:numId="2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0"/>
  </w:num>
  <w:num w:numId="29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16F49"/>
    <w:rsid w:val="00024733"/>
    <w:rsid w:val="00024C4D"/>
    <w:rsid w:val="00062FF5"/>
    <w:rsid w:val="00085477"/>
    <w:rsid w:val="00095600"/>
    <w:rsid w:val="000E68A3"/>
    <w:rsid w:val="000F4CA2"/>
    <w:rsid w:val="00110B0A"/>
    <w:rsid w:val="00212F5F"/>
    <w:rsid w:val="002454E8"/>
    <w:rsid w:val="002656E7"/>
    <w:rsid w:val="002E4602"/>
    <w:rsid w:val="002E5017"/>
    <w:rsid w:val="00326E6C"/>
    <w:rsid w:val="00335FD9"/>
    <w:rsid w:val="00341B99"/>
    <w:rsid w:val="003604E0"/>
    <w:rsid w:val="0036387B"/>
    <w:rsid w:val="0037338F"/>
    <w:rsid w:val="003F59D2"/>
    <w:rsid w:val="00406C19"/>
    <w:rsid w:val="004C69C7"/>
    <w:rsid w:val="004F036F"/>
    <w:rsid w:val="00597B14"/>
    <w:rsid w:val="005C6F60"/>
    <w:rsid w:val="005F5BA9"/>
    <w:rsid w:val="00695C2E"/>
    <w:rsid w:val="006E40AD"/>
    <w:rsid w:val="006F7E81"/>
    <w:rsid w:val="00740FA3"/>
    <w:rsid w:val="00742BA9"/>
    <w:rsid w:val="00776DF2"/>
    <w:rsid w:val="0079093B"/>
    <w:rsid w:val="007F3434"/>
    <w:rsid w:val="00892C50"/>
    <w:rsid w:val="008A6E2C"/>
    <w:rsid w:val="008C73FF"/>
    <w:rsid w:val="008F056E"/>
    <w:rsid w:val="00962AB6"/>
    <w:rsid w:val="009818BD"/>
    <w:rsid w:val="00A03F9A"/>
    <w:rsid w:val="00A54636"/>
    <w:rsid w:val="00A643F9"/>
    <w:rsid w:val="00A66D9C"/>
    <w:rsid w:val="00AC540F"/>
    <w:rsid w:val="00B470E3"/>
    <w:rsid w:val="00B84BC4"/>
    <w:rsid w:val="00BC6C4A"/>
    <w:rsid w:val="00BD244E"/>
    <w:rsid w:val="00BE1D1D"/>
    <w:rsid w:val="00C03F68"/>
    <w:rsid w:val="00C478B3"/>
    <w:rsid w:val="00C52830"/>
    <w:rsid w:val="00C57341"/>
    <w:rsid w:val="00C86865"/>
    <w:rsid w:val="00C86D7B"/>
    <w:rsid w:val="00CB2336"/>
    <w:rsid w:val="00D8608E"/>
    <w:rsid w:val="00D91978"/>
    <w:rsid w:val="00DD16E5"/>
    <w:rsid w:val="00E018FF"/>
    <w:rsid w:val="00E358AA"/>
    <w:rsid w:val="00E55882"/>
    <w:rsid w:val="00E614D1"/>
    <w:rsid w:val="00E9754F"/>
    <w:rsid w:val="00EA3E50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542C5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024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styleId="lev">
    <w:name w:val="Strong"/>
    <w:basedOn w:val="Policepardfaut"/>
    <w:uiPriority w:val="22"/>
    <w:qFormat/>
    <w:rsid w:val="00406C19"/>
    <w:rPr>
      <w:b/>
      <w:bCs/>
    </w:rPr>
  </w:style>
  <w:style w:type="paragraph" w:styleId="NormalWeb">
    <w:name w:val="Normal (Web)"/>
    <w:basedOn w:val="Normal"/>
    <w:uiPriority w:val="99"/>
    <w:unhideWhenUsed/>
    <w:rsid w:val="00406C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02473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B6256"/>
    <w:rsid w:val="00253781"/>
    <w:rsid w:val="00255A8E"/>
    <w:rsid w:val="00405FA0"/>
    <w:rsid w:val="00423476"/>
    <w:rsid w:val="0060737C"/>
    <w:rsid w:val="007A55B9"/>
    <w:rsid w:val="00864215"/>
    <w:rsid w:val="008653EA"/>
    <w:rsid w:val="008E6D3B"/>
    <w:rsid w:val="009922A0"/>
    <w:rsid w:val="00997C90"/>
    <w:rsid w:val="00A8432B"/>
    <w:rsid w:val="00AD1E63"/>
    <w:rsid w:val="00B17B18"/>
    <w:rsid w:val="00B271D6"/>
    <w:rsid w:val="00D421AE"/>
    <w:rsid w:val="00D47D9D"/>
    <w:rsid w:val="00D52704"/>
    <w:rsid w:val="00E6344D"/>
    <w:rsid w:val="00F516CC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BDBEF-08E3-458C-96E0-76467310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551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12</cp:revision>
  <cp:lastPrinted>2024-10-21T13:53:00Z</cp:lastPrinted>
  <dcterms:created xsi:type="dcterms:W3CDTF">2024-11-05T15:11:00Z</dcterms:created>
  <dcterms:modified xsi:type="dcterms:W3CDTF">2024-11-14T09:51:00Z</dcterms:modified>
</cp:coreProperties>
</file>